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29"/>
        <w:tblW w:w="0" w:type="auto"/>
        <w:tblLook w:val="01E0"/>
      </w:tblPr>
      <w:tblGrid>
        <w:gridCol w:w="3279"/>
        <w:gridCol w:w="3434"/>
        <w:gridCol w:w="2858"/>
      </w:tblGrid>
      <w:tr w:rsidR="003D26AC" w:rsidRPr="003844B3" w:rsidTr="003D26AC">
        <w:tc>
          <w:tcPr>
            <w:tcW w:w="3279" w:type="dxa"/>
            <w:tcBorders>
              <w:bottom w:val="thinThickSmallGap" w:sz="24" w:space="0" w:color="auto"/>
            </w:tcBorders>
            <w:vAlign w:val="center"/>
          </w:tcPr>
          <w:p w:rsidR="003D26AC" w:rsidRPr="003844B3" w:rsidRDefault="003D26AC" w:rsidP="003D26AC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АД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МІНІСТРАЦІЯ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ПОЧ</w:t>
            </w: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ВСЬКОГО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СІЛЬСЬКОГО ПОСЕЛЕННЯ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БАХЧИСАРАЙСЬКОГО РАЙОНУ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РЕСПУБЛІКИ КРИМ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tcBorders>
              <w:bottom w:val="thinThickSmallGap" w:sz="24" w:space="0" w:color="auto"/>
            </w:tcBorders>
            <w:vAlign w:val="center"/>
          </w:tcPr>
          <w:p w:rsidR="003D26AC" w:rsidRDefault="003D26AC" w:rsidP="003D26AC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3D26AC" w:rsidRPr="003844B3" w:rsidRDefault="003D26AC" w:rsidP="003D26AC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АДМИНИСТРАЦИЯ ПОЧТОВСКОГО</w:t>
            </w:r>
          </w:p>
          <w:p w:rsidR="003D26AC" w:rsidRPr="003844B3" w:rsidRDefault="003D26AC" w:rsidP="003D26AC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СЕЛЬСКОГО ПОСЕЛЕНИЯ</w:t>
            </w:r>
          </w:p>
          <w:p w:rsidR="003D26AC" w:rsidRPr="003844B3" w:rsidRDefault="003D26AC" w:rsidP="003D26AC">
            <w:pPr>
              <w:shd w:val="clear" w:color="auto" w:fill="FFFFFF"/>
              <w:spacing w:after="0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БАХЧИСАРАЙСКОГО РАЙОНА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2858" w:type="dxa"/>
            <w:tcBorders>
              <w:bottom w:val="thinThickSmallGap" w:sz="24" w:space="0" w:color="auto"/>
            </w:tcBorders>
            <w:vAlign w:val="center"/>
          </w:tcPr>
          <w:p w:rsidR="003D26AC" w:rsidRDefault="003D26AC" w:rsidP="003D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6AC" w:rsidRPr="003844B3" w:rsidRDefault="003D26AC" w:rsidP="003D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 xml:space="preserve">КЪЫРЫМ ДЖУМХУРИЕТИ БАГЪЧАСАРАЙ БОЛЮГИ </w:t>
            </w:r>
            <w:proofErr w:type="gramStart"/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ПОЧТОВОЕ</w:t>
            </w:r>
            <w:proofErr w:type="gramEnd"/>
            <w:r w:rsidRPr="003844B3">
              <w:rPr>
                <w:rFonts w:ascii="Times New Roman" w:hAnsi="Times New Roman" w:cs="Times New Roman"/>
                <w:sz w:val="18"/>
                <w:szCs w:val="18"/>
              </w:rPr>
              <w:t xml:space="preserve"> КОЙ КЪАСАБАСЫНЫНЪ ИДАРЕСИ</w:t>
            </w:r>
          </w:p>
        </w:tc>
      </w:tr>
    </w:tbl>
    <w:p w:rsidR="00F86D79" w:rsidRDefault="00F86D79" w:rsidP="00D77F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250" cy="609600"/>
            <wp:effectExtent l="19050" t="0" r="0" b="0"/>
            <wp:docPr id="5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8FB" w:rsidRDefault="006068FB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7D10" w:rsidRDefault="00997D10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7D10" w:rsidRDefault="00997D10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7D10" w:rsidRDefault="00997D10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77FE4" w:rsidRDefault="00D77FE4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77FE4" w:rsidRDefault="00D77FE4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8FB" w:rsidRDefault="006068FB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6A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77FE4" w:rsidRPr="003D26AC" w:rsidRDefault="00D77FE4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51AD" w:rsidRPr="00D77FE4" w:rsidRDefault="00FF40DB" w:rsidP="009236F2">
      <w:pPr>
        <w:spacing w:after="0"/>
        <w:ind w:righ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сентября </w:t>
      </w:r>
      <w:r w:rsidR="00D64A9A" w:rsidRPr="00D77FE4">
        <w:rPr>
          <w:rFonts w:ascii="Times New Roman" w:hAnsi="Times New Roman" w:cs="Times New Roman"/>
          <w:sz w:val="24"/>
          <w:szCs w:val="24"/>
        </w:rPr>
        <w:t>2017</w:t>
      </w:r>
      <w:r w:rsidR="00337986" w:rsidRPr="00D77FE4">
        <w:rPr>
          <w:rFonts w:ascii="Times New Roman" w:hAnsi="Times New Roman" w:cs="Times New Roman"/>
          <w:sz w:val="24"/>
          <w:szCs w:val="24"/>
        </w:rPr>
        <w:t xml:space="preserve"> года</w:t>
      </w:r>
      <w:r w:rsidR="00D77FE4" w:rsidRPr="00D77FE4">
        <w:rPr>
          <w:rFonts w:ascii="Times New Roman" w:hAnsi="Times New Roman" w:cs="Times New Roman"/>
          <w:sz w:val="24"/>
          <w:szCs w:val="24"/>
        </w:rPr>
        <w:tab/>
      </w:r>
      <w:r w:rsidR="00D77FE4" w:rsidRPr="00D77FE4">
        <w:rPr>
          <w:rFonts w:ascii="Times New Roman" w:hAnsi="Times New Roman" w:cs="Times New Roman"/>
          <w:sz w:val="24"/>
          <w:szCs w:val="24"/>
        </w:rPr>
        <w:tab/>
      </w:r>
      <w:r w:rsidR="00D77FE4" w:rsidRPr="00D77FE4">
        <w:rPr>
          <w:rFonts w:ascii="Times New Roman" w:hAnsi="Times New Roman" w:cs="Times New Roman"/>
          <w:sz w:val="24"/>
          <w:szCs w:val="24"/>
        </w:rPr>
        <w:tab/>
      </w:r>
      <w:r w:rsidR="00D77FE4" w:rsidRPr="00D77FE4">
        <w:rPr>
          <w:rFonts w:ascii="Times New Roman" w:hAnsi="Times New Roman" w:cs="Times New Roman"/>
          <w:sz w:val="24"/>
          <w:szCs w:val="24"/>
        </w:rPr>
        <w:tab/>
      </w:r>
      <w:r w:rsidR="00D77FE4" w:rsidRPr="00D77FE4">
        <w:rPr>
          <w:rFonts w:ascii="Times New Roman" w:hAnsi="Times New Roman" w:cs="Times New Roman"/>
          <w:sz w:val="24"/>
          <w:szCs w:val="24"/>
        </w:rPr>
        <w:tab/>
      </w:r>
      <w:r w:rsidR="00D77FE4" w:rsidRPr="00D77FE4">
        <w:rPr>
          <w:rFonts w:ascii="Times New Roman" w:hAnsi="Times New Roman" w:cs="Times New Roman"/>
          <w:sz w:val="24"/>
          <w:szCs w:val="24"/>
        </w:rPr>
        <w:tab/>
      </w:r>
      <w:r w:rsidR="00D77FE4" w:rsidRPr="00D77FE4">
        <w:rPr>
          <w:rFonts w:ascii="Times New Roman" w:hAnsi="Times New Roman" w:cs="Times New Roman"/>
          <w:sz w:val="24"/>
          <w:szCs w:val="24"/>
        </w:rPr>
        <w:tab/>
      </w:r>
      <w:r w:rsidR="00D77FE4" w:rsidRPr="00D77FE4">
        <w:rPr>
          <w:rFonts w:ascii="Times New Roman" w:hAnsi="Times New Roman" w:cs="Times New Roman"/>
          <w:sz w:val="24"/>
          <w:szCs w:val="24"/>
        </w:rPr>
        <w:tab/>
      </w:r>
      <w:r w:rsidR="00D64A9A" w:rsidRPr="00D77FE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330</w:t>
      </w:r>
    </w:p>
    <w:p w:rsidR="00BD4EC9" w:rsidRDefault="00BD4EC9" w:rsidP="00BD4EC9">
      <w:pPr>
        <w:widowControl w:val="0"/>
        <w:spacing w:after="0" w:line="322" w:lineRule="exact"/>
        <w:ind w:right="46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64A9A" w:rsidRDefault="00D64A9A" w:rsidP="00997D10">
      <w:pPr>
        <w:widowControl w:val="0"/>
        <w:spacing w:after="0" w:line="322" w:lineRule="exact"/>
        <w:ind w:right="46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«Об утверждении Порядка разработки и утверждения схемы размещения нестационарных торговых объектов»</w:t>
      </w:r>
    </w:p>
    <w:p w:rsidR="00D77FE4" w:rsidRPr="009236F2" w:rsidRDefault="00D77FE4" w:rsidP="00997D10">
      <w:pPr>
        <w:widowControl w:val="0"/>
        <w:spacing w:after="0" w:line="322" w:lineRule="exact"/>
        <w:ind w:right="46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64A9A" w:rsidRPr="009236F2" w:rsidRDefault="00D64A9A" w:rsidP="00997D10">
      <w:pPr>
        <w:widowControl w:val="0"/>
        <w:spacing w:after="293" w:line="346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10 Федерального Закона от 28.12.2010 № 381-ФЗ «Об основах государственного регулирования торговой деятельности в Российской Федерации», Приказом Министерства промышленной политики Республики Крым от 26.12.2014г. № 129 «О Порядке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объектов», Уставом муниципального образования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Почтовское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поселение, Администрация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proofErr w:type="gramEnd"/>
    </w:p>
    <w:p w:rsidR="00D64A9A" w:rsidRPr="009236F2" w:rsidRDefault="00D64A9A" w:rsidP="009236F2">
      <w:pPr>
        <w:widowControl w:val="0"/>
        <w:spacing w:after="299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ПОСТАНОВЛЯЕТ:</w:t>
      </w:r>
    </w:p>
    <w:p w:rsidR="00BD4EC9" w:rsidRPr="00A95EDC" w:rsidRDefault="00D64A9A" w:rsidP="00997D10">
      <w:pPr>
        <w:pStyle w:val="a7"/>
        <w:widowControl w:val="0"/>
        <w:numPr>
          <w:ilvl w:val="0"/>
          <w:numId w:val="2"/>
        </w:numPr>
        <w:spacing w:after="0" w:line="34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Порядок разработки и утверждения схем размещения нестационарных торговых объектов 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(приложение 1).</w:t>
      </w:r>
    </w:p>
    <w:p w:rsidR="00BD4EC9" w:rsidRPr="009236F2" w:rsidRDefault="00BD4EC9" w:rsidP="00997D10">
      <w:pPr>
        <w:pStyle w:val="a7"/>
        <w:widowControl w:val="0"/>
        <w:numPr>
          <w:ilvl w:val="0"/>
          <w:numId w:val="2"/>
        </w:numPr>
        <w:spacing w:after="0" w:line="322" w:lineRule="exact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Утвердить форму заявления о включении места для размещения нестационарного торгового объекта в схему размещения 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сельского поселени</w:t>
      </w:r>
      <w:proofErr w:type="gramStart"/>
      <w:r w:rsidRPr="009236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</w:t>
      </w:r>
      <w:r w:rsidR="00364E05"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End"/>
      <w:r w:rsidR="00364E05"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2).</w:t>
      </w:r>
    </w:p>
    <w:p w:rsidR="00BD4EC9" w:rsidRPr="009236F2" w:rsidRDefault="00BD4EC9" w:rsidP="00997D10">
      <w:pPr>
        <w:pStyle w:val="a7"/>
        <w:widowControl w:val="0"/>
        <w:numPr>
          <w:ilvl w:val="0"/>
          <w:numId w:val="2"/>
        </w:numPr>
        <w:spacing w:after="0" w:line="322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 форму уведомление о включении объекта в Схему размещения нестационарных торговых объекто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364E05"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End"/>
      <w:r w:rsidR="00364E05"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3).</w:t>
      </w:r>
    </w:p>
    <w:p w:rsidR="00BD4EC9" w:rsidRPr="009236F2" w:rsidRDefault="00BD4EC9" w:rsidP="00997D10">
      <w:pPr>
        <w:pStyle w:val="a7"/>
        <w:widowControl w:val="0"/>
        <w:numPr>
          <w:ilvl w:val="0"/>
          <w:numId w:val="2"/>
        </w:numPr>
        <w:spacing w:after="0" w:line="34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вступает в силу с момента опубликования на Правительственном портале Республики Крым,</w:t>
      </w:r>
      <w:hyperlink r:id="rId7" w:history="1">
        <w:r w:rsidRPr="009236F2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 xml:space="preserve"> http://bahch.rk.gov.ru</w:t>
        </w:r>
        <w:r w:rsidRPr="009236F2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bidi="en-US"/>
          </w:rPr>
          <w:t>.</w:t>
        </w:r>
      </w:hyperlink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разделе «Муниципальные образования Бахчисарайского района,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Почтовское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поселение».</w:t>
      </w:r>
    </w:p>
    <w:p w:rsidR="00997D10" w:rsidRDefault="00997D10" w:rsidP="009236F2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4EC9" w:rsidRPr="009236F2" w:rsidRDefault="00BD4EC9" w:rsidP="00997D10">
      <w:pPr>
        <w:widowControl w:val="0"/>
        <w:tabs>
          <w:tab w:val="center" w:pos="0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</w:t>
      </w:r>
    </w:p>
    <w:p w:rsidR="00D77FE4" w:rsidRDefault="00BD4EC9" w:rsidP="00D77FE4">
      <w:pPr>
        <w:widowControl w:val="0"/>
        <w:tabs>
          <w:tab w:val="left" w:pos="6379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D77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А.Н.Ястребова</w:t>
      </w:r>
      <w:proofErr w:type="spellEnd"/>
    </w:p>
    <w:p w:rsidR="00D77FE4" w:rsidRDefault="00D77FE4" w:rsidP="00D77FE4">
      <w:pPr>
        <w:widowControl w:val="0"/>
        <w:tabs>
          <w:tab w:val="left" w:pos="6379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D77FE4" w:rsidSect="009236F2">
          <w:type w:val="continuous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D77FE4" w:rsidRDefault="00BD4EC9" w:rsidP="00D77FE4">
      <w:pPr>
        <w:widowControl w:val="0"/>
        <w:tabs>
          <w:tab w:val="left" w:pos="6379"/>
        </w:tabs>
        <w:spacing w:after="0" w:line="280" w:lineRule="exact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1 к Постановлению</w:t>
      </w:r>
    </w:p>
    <w:p w:rsidR="00D77FE4" w:rsidRDefault="00BD4EC9" w:rsidP="00D77FE4">
      <w:pPr>
        <w:widowControl w:val="0"/>
        <w:tabs>
          <w:tab w:val="left" w:pos="6379"/>
        </w:tabs>
        <w:spacing w:after="0" w:line="280" w:lineRule="exact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</w:t>
      </w:r>
      <w:r w:rsidR="00A95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нистрации </w:t>
      </w:r>
      <w:proofErr w:type="spellStart"/>
      <w:r w:rsidR="00A95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="00A95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A95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сельского</w:t>
      </w:r>
      <w:proofErr w:type="gramEnd"/>
    </w:p>
    <w:p w:rsidR="00BD4EC9" w:rsidRPr="009236F2" w:rsidRDefault="00BD4EC9" w:rsidP="00D77FE4">
      <w:pPr>
        <w:widowControl w:val="0"/>
        <w:tabs>
          <w:tab w:val="left" w:pos="6379"/>
        </w:tabs>
        <w:spacing w:after="0" w:line="280" w:lineRule="exact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поселения №</w:t>
      </w:r>
      <w:r w:rsidR="00FF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330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FF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18.09.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2017</w:t>
      </w:r>
      <w:r w:rsidR="00A95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</w:p>
    <w:p w:rsidR="00D77FE4" w:rsidRDefault="00D77FE4" w:rsidP="009236F2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4EC9" w:rsidRPr="009236F2" w:rsidRDefault="00BD4EC9" w:rsidP="009236F2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</w:t>
      </w:r>
    </w:p>
    <w:p w:rsidR="006372EA" w:rsidRDefault="00BD4EC9" w:rsidP="009236F2">
      <w:pPr>
        <w:widowControl w:val="0"/>
        <w:spacing w:after="0" w:line="322" w:lineRule="exact"/>
        <w:ind w:right="580" w:firstLine="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разработки и утверждения схем размещения нестационарных торговых объектов 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</w:p>
    <w:p w:rsidR="00D77FE4" w:rsidRDefault="00D77FE4" w:rsidP="009236F2">
      <w:pPr>
        <w:widowControl w:val="0"/>
        <w:spacing w:after="0" w:line="322" w:lineRule="exact"/>
        <w:ind w:right="580" w:firstLine="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4EC9" w:rsidRPr="009236F2" w:rsidRDefault="00BD4EC9" w:rsidP="009236F2">
      <w:pPr>
        <w:widowControl w:val="0"/>
        <w:spacing w:after="0" w:line="322" w:lineRule="exact"/>
        <w:ind w:right="580" w:firstLine="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1.Общие положения</w:t>
      </w:r>
    </w:p>
    <w:p w:rsidR="00BD4EC9" w:rsidRPr="009236F2" w:rsidRDefault="00BD4EC9" w:rsidP="006372EA">
      <w:pPr>
        <w:widowControl w:val="0"/>
        <w:numPr>
          <w:ilvl w:val="0"/>
          <w:numId w:val="3"/>
        </w:numPr>
        <w:tabs>
          <w:tab w:val="left" w:pos="5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разработки и утверждения схем размещения нестационарных торговых объектов 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я(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далее - Порядок) разработан в соответствии с Федеральным законом от28 декабря 2009 года №381-ФЗ «Об основах государственного регулирования торговой деятельности в Российской Федерации», Приказом Министерства промышленной политики Республики Крым от 26.12.2014г. №129 «О Порядке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объектов», Уставом муниципального образования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и устанавливает процедуру разработки и утверждения схем размещения нестационарных торговых объектов на земельных участках, в зданиях, строениях, сооружениях, находящихся в муниципальной собственности 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(далее - Схема).</w:t>
      </w:r>
    </w:p>
    <w:p w:rsidR="00BD4EC9" w:rsidRPr="009236F2" w:rsidRDefault="00BD4EC9" w:rsidP="006372EA">
      <w:pPr>
        <w:widowControl w:val="0"/>
        <w:numPr>
          <w:ilvl w:val="0"/>
          <w:numId w:val="3"/>
        </w:numPr>
        <w:tabs>
          <w:tab w:val="left" w:pos="5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Целями разработки Схем являются: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единого порядка размещения нестационарных торговых объектов 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достижение нормативов минимальной обеспеченности населения площадью торговых объектов 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обеспечения жителей города качественными и безопасными товарами и услугами;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равных возможностей для реализации прав хозяйствующих субъектов на осуществление торговой деятельности 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внешнего архитектурного облика, сложившейся застройки.</w:t>
      </w:r>
    </w:p>
    <w:p w:rsidR="00BD4EC9" w:rsidRPr="009236F2" w:rsidRDefault="00BD4EC9" w:rsidP="006372EA">
      <w:pPr>
        <w:widowControl w:val="0"/>
        <w:numPr>
          <w:ilvl w:val="0"/>
          <w:numId w:val="3"/>
        </w:numPr>
        <w:tabs>
          <w:tab w:val="left" w:pos="5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 настоящего Порядка распространяются на размещение нестационарных торговых объектов в зданиях, строениях, сооружениях и на земельных участках, находящихся в муниципальной собственности.</w:t>
      </w:r>
    </w:p>
    <w:p w:rsidR="00BD4EC9" w:rsidRPr="009236F2" w:rsidRDefault="00BD4EC9" w:rsidP="006372EA">
      <w:pPr>
        <w:widowControl w:val="0"/>
        <w:numPr>
          <w:ilvl w:val="0"/>
          <w:numId w:val="3"/>
        </w:numPr>
        <w:tabs>
          <w:tab w:val="left" w:pos="5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размещения и использования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BD4EC9" w:rsidRPr="009236F2" w:rsidRDefault="00BD4EC9" w:rsidP="006372EA">
      <w:pPr>
        <w:widowControl w:val="0"/>
        <w:numPr>
          <w:ilvl w:val="0"/>
          <w:numId w:val="3"/>
        </w:numPr>
        <w:tabs>
          <w:tab w:val="left" w:pos="5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Включение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 в схему размещения нестационарных торговых объектов,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осуществляется в порядке, установленном постановлением Правительством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в схему размещения нестационарных торговых объектов».</w:t>
      </w:r>
      <w:proofErr w:type="gramEnd"/>
    </w:p>
    <w:p w:rsidR="00BD4EC9" w:rsidRPr="009236F2" w:rsidRDefault="00BD4EC9" w:rsidP="006372EA">
      <w:pPr>
        <w:widowControl w:val="0"/>
        <w:numPr>
          <w:ilvl w:val="0"/>
          <w:numId w:val="3"/>
        </w:numPr>
        <w:tabs>
          <w:tab w:val="left" w:pos="5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Требования, установленные настоящим Порядком, не распространяются на отношения, связанные с размещением нестационарных торговых объектов, находящихся на территориях розничных рынков, ярмарок, а также при проведении праздничных и иных массовых мероприятий, имеющих краткосрочный характер.</w:t>
      </w:r>
    </w:p>
    <w:p w:rsidR="00BD4EC9" w:rsidRPr="009236F2" w:rsidRDefault="00BD4EC9" w:rsidP="006372EA">
      <w:pPr>
        <w:widowControl w:val="0"/>
        <w:numPr>
          <w:ilvl w:val="0"/>
          <w:numId w:val="3"/>
        </w:numPr>
        <w:tabs>
          <w:tab w:val="left" w:pos="5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целей настоящего Порядка используются следующие термины и определения: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торговый объект -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сооружение, в том числе: торговый павильон - временное сооружение, имеющее торговый зал и помещение для хранения товарного запаса, рассчитанное на одно или несколько рабочих мест;</w:t>
      </w:r>
      <w:proofErr w:type="gramEnd"/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киоск - временное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сооружение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имеющее торгового зала, и помещений для хранения товаров, рассчитанное на одно рабочее место продавца, на площади которого хранится товарный запас;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палатк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а-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мест продавца, на площади которых размещен товарный запас на один день торговли; лото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к-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передвижной торговый объект, осуществляющий разносную торговлю, не имеющий торгового зала и помещений для хранения товаров, рассчитанный на одно рабочее место продавца, на площади которых размещен товарный запас на один день торговли;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торговый автома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т-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временное техническое сооружение или конструкция предназначенная для продажи товаров (выполнения работ, оказания услуг) без участия продавца;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летняя площадка (кафе)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пециально оборудованное временное сооружение, в том числе при стационарном объекте торговли или общественного питания, представляющее собой площадку для размещения предприятия общественного питания для дополнительного обслуживания питанием и (или без) отдыха потребителей;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 для реализации бахчевых культур - специально оборудованная временная конструкция, представляющая собой площадку для продажи бахчевых культур; елочный база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р-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специально оборудованная временная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конструкция, огражденная территория, представляющая собой площадку для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продажи натуральных елок, сосен, елочных гирлянд, новогодних игрушек и др.; передвижные сооружени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я-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автомагазины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(автолавки, автоприцепы),авто кафе, изотермические емкости и цистерны, тележки, лотки, палатки, корзины и иные специальные приспособления и конструкции для осуществления розничной торговли;</w:t>
      </w:r>
    </w:p>
    <w:p w:rsidR="00BD4EC9" w:rsidRPr="009236F2" w:rsidRDefault="00BD4EC9" w:rsidP="006372EA">
      <w:pPr>
        <w:widowControl w:val="0"/>
        <w:numPr>
          <w:ilvl w:val="0"/>
          <w:numId w:val="4"/>
        </w:numPr>
        <w:tabs>
          <w:tab w:val="left" w:pos="32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Требования, к разработке Схемы размещения нестационарных объектов торговли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5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Размещение нестационарных торговых объектов 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должно соответствовать земельным, градостроительным, строительным, архитектурным, пожарным, санитарным, торговым, экологическим требованиям законодательства Российской Федерации, Республики Крым, требованиям безопасности дорожного движения, охраны объектов культурного наследия.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5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разработке Схемы администрация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руководствуется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</w:p>
    <w:p w:rsidR="00BD4EC9" w:rsidRPr="009236F2" w:rsidRDefault="00BD4EC9" w:rsidP="006372EA">
      <w:pPr>
        <w:widowControl w:val="0"/>
        <w:numPr>
          <w:ilvl w:val="0"/>
          <w:numId w:val="5"/>
        </w:numPr>
        <w:tabs>
          <w:tab w:val="left" w:pos="74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особенностями развития торговой деятельности муниципального образования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BD4EC9" w:rsidRPr="009236F2" w:rsidRDefault="00BD4EC9" w:rsidP="006372EA">
      <w:pPr>
        <w:widowControl w:val="0"/>
        <w:numPr>
          <w:ilvl w:val="0"/>
          <w:numId w:val="5"/>
        </w:numPr>
        <w:tabs>
          <w:tab w:val="left" w:pos="74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необходимостью размещения не менее чем шестидесяти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</w:t>
      </w:r>
    </w:p>
    <w:p w:rsidR="00BD4EC9" w:rsidRPr="009236F2" w:rsidRDefault="00BD4EC9" w:rsidP="006372EA">
      <w:pPr>
        <w:widowControl w:val="0"/>
        <w:numPr>
          <w:ilvl w:val="0"/>
          <w:numId w:val="5"/>
        </w:numPr>
        <w:tabs>
          <w:tab w:val="left" w:pos="74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результатами мониторинга текущего состояния торговой деятельности 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востребованности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нестационарных торговых объектов хозяйствующими субъектами и потребителями.</w:t>
      </w:r>
    </w:p>
    <w:p w:rsidR="00BD4EC9" w:rsidRPr="009236F2" w:rsidRDefault="00BD4EC9" w:rsidP="006372EA">
      <w:pPr>
        <w:widowControl w:val="0"/>
        <w:numPr>
          <w:ilvl w:val="0"/>
          <w:numId w:val="5"/>
        </w:numPr>
        <w:tabs>
          <w:tab w:val="left" w:pos="742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обращениями юридических лиц и индивидуальных предпринимателей, имеющих намерения разместить нестационарные торговые объекты на территории муниципального образования (форма заявления определена Приложением 3 к данному Порядку);</w:t>
      </w:r>
    </w:p>
    <w:p w:rsidR="00BD4EC9" w:rsidRPr="009236F2" w:rsidRDefault="00BD4EC9" w:rsidP="006372EA">
      <w:pPr>
        <w:widowControl w:val="0"/>
        <w:numPr>
          <w:ilvl w:val="0"/>
          <w:numId w:val="5"/>
        </w:numPr>
        <w:tabs>
          <w:tab w:val="left" w:pos="742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обеспечением беспрепятственного движения транспорта и пешеходов;</w:t>
      </w:r>
    </w:p>
    <w:p w:rsidR="00BD4EC9" w:rsidRPr="009236F2" w:rsidRDefault="00BD4EC9" w:rsidP="006372EA">
      <w:pPr>
        <w:widowControl w:val="0"/>
        <w:numPr>
          <w:ilvl w:val="0"/>
          <w:numId w:val="5"/>
        </w:numPr>
        <w:tabs>
          <w:tab w:val="left" w:pos="74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обеспечением соответствия деятельности нестационарных торговых объектов санитарным, противопожарным, экологическим требованиям, правилам продажи отдельных видов товаров, требованиям законодательства по защите прав потребителей, требованиям безопасности для жизни и здоровья людей, соблюдения ограничений, установленных законодательством, регулирующим оборот табачных изделий, алкогольной продукции.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68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Период размещения устанавливается в схеме размещения нестационарных торговых объектов для каждого места размещения нестационарного торгового объекта, с учетом следующих особенностей в отношении размещения отдельных видов нестационарных торговых объектов:</w:t>
      </w:r>
    </w:p>
    <w:p w:rsidR="00BD4EC9" w:rsidRPr="009236F2" w:rsidRDefault="00BD4EC9" w:rsidP="006372EA">
      <w:pPr>
        <w:widowControl w:val="0"/>
        <w:numPr>
          <w:ilvl w:val="2"/>
          <w:numId w:val="4"/>
        </w:numPr>
        <w:tabs>
          <w:tab w:val="left" w:pos="7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мест размещения елочных базаров период размещения устанавливается с 15 по 31 декабря;</w:t>
      </w:r>
    </w:p>
    <w:p w:rsidR="00BD4EC9" w:rsidRPr="009236F2" w:rsidRDefault="00BD4EC9" w:rsidP="006372EA">
      <w:pPr>
        <w:widowControl w:val="0"/>
        <w:numPr>
          <w:ilvl w:val="2"/>
          <w:numId w:val="4"/>
        </w:numPr>
        <w:tabs>
          <w:tab w:val="left" w:pos="7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места размещения реализации бахчевых культур с 1 июля по 1 ноября;</w:t>
      </w:r>
    </w:p>
    <w:p w:rsidR="00BD4EC9" w:rsidRPr="009236F2" w:rsidRDefault="00BD4EC9" w:rsidP="006372EA">
      <w:pPr>
        <w:widowControl w:val="0"/>
        <w:numPr>
          <w:ilvl w:val="2"/>
          <w:numId w:val="4"/>
        </w:numPr>
        <w:tabs>
          <w:tab w:val="left" w:pos="7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мест размещения передвижных сооружений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proofErr w:type="gramEnd"/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реализации мороженого, прохладительных напитков, кваса, товаров курортного спроса с 1 мая по 1 ноября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BD4EC9" w:rsidRPr="009236F2" w:rsidRDefault="00BD4EC9" w:rsidP="006372EA">
      <w:pPr>
        <w:widowControl w:val="0"/>
        <w:numPr>
          <w:ilvl w:val="2"/>
          <w:numId w:val="4"/>
        </w:numPr>
        <w:tabs>
          <w:tab w:val="left" w:pos="7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мест размещения передвижных сооружений по реализации рыбной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продукции в период путины с 1октября по 1 января;</w:t>
      </w:r>
    </w:p>
    <w:p w:rsidR="00BD4EC9" w:rsidRPr="009236F2" w:rsidRDefault="00BD4EC9" w:rsidP="006372EA">
      <w:pPr>
        <w:widowControl w:val="0"/>
        <w:numPr>
          <w:ilvl w:val="2"/>
          <w:numId w:val="4"/>
        </w:numPr>
        <w:tabs>
          <w:tab w:val="left" w:pos="7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размещения летних площадок (кафе)- с 1 мая по 1 ноября;</w:t>
      </w:r>
    </w:p>
    <w:p w:rsidR="00BD4EC9" w:rsidRPr="009236F2" w:rsidRDefault="00BD4EC9" w:rsidP="006372EA">
      <w:pPr>
        <w:widowControl w:val="0"/>
        <w:numPr>
          <w:ilvl w:val="2"/>
          <w:numId w:val="4"/>
        </w:numPr>
        <w:tabs>
          <w:tab w:val="left" w:pos="7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иных нестационарных торговых объектов,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</w:t>
      </w:r>
      <w:proofErr w:type="gramEnd"/>
    </w:p>
    <w:p w:rsidR="00BD4EC9" w:rsidRPr="009236F2" w:rsidRDefault="00BD4EC9" w:rsidP="006372EA">
      <w:pPr>
        <w:widowControl w:val="0"/>
        <w:spacing w:after="0" w:line="322" w:lineRule="exact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исключением предусмотренных подпунктами 2.3.1-2.3.5. настоящего пункта, с учетом необходимости обеспечения устойчивого развития территории, на срок до 7 лет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2.4.Не допускается включать в Схему следующие места размещения: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7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посадочных площадках остановок общественного транспорта;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7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полосах отвода автомобильных дорог;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8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арках зданий, на газонах, цветниках, клумбах, площадках (детских, для отдыха, спортивных), на дворовых территориях жилых зданий, в местах, необорудованных для разгрузки товара;</w:t>
      </w:r>
      <w:proofErr w:type="gramEnd"/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ближе 5 метров от окон жилых и общественных зданий и витрин стационарных торговых объектов;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инженерных сетях и коммуникациях, в охранных зонах инженерных сетей и коммуникаций;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7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расстоянии менее 25 метров от мест сбора мусора и пищевых отходов;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7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охранных зонах объектов культурного наследия;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7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:rsidR="00BD4EC9" w:rsidRPr="009236F2" w:rsidRDefault="00BD4EC9" w:rsidP="006372EA">
      <w:pPr>
        <w:widowControl w:val="0"/>
        <w:numPr>
          <w:ilvl w:val="0"/>
          <w:numId w:val="4"/>
        </w:numPr>
        <w:tabs>
          <w:tab w:val="left" w:pos="108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 к разработке и утверждению Схемы размещения нестационарных объектов торговли, внесение в неё изменений.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2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Разработка проекта Схемы размещения осуществляется Администрацией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32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Схема состоит из двух частей: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Графическая часть разрабатывается в виде карты (карт) с обозначением на ней (на них) мест расположения нестационарных торговых объектов.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Текстовая часть, которая является приложением к графической части, разрабатывается в виде таблицы, содержащей следующие сведения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предполагаемого к размещению нестационарного торгового объекта;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тип нестационарного торгового объекта (павильон, киоск, летнее кафе и др.);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месторасположение (адрес) нестационарного торгового объекта;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 собственности земельного участка, здания, строения, сооружения,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которых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предполагается расположить нестационарный торговый объект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(муниципальная);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 реализуемых товаров;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предоставляемая площадь для размещения нестационарного торгового объекта; планируемый срок размещения нестационарного торгового объекта; порядок предоставления места для размещения нестационарного торгового объекта (по конкурсу — порядок проведения которого регулируется отдельным муниципальным актом о порядке проведения конкурса при предоставлении места для размещения нестационарного торгового объекта или без конкурса согласно Федерального закона от 26 июля 2006 г.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135-ФЗ "О защите конкуренции").</w:t>
      </w:r>
      <w:proofErr w:type="gramEnd"/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2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Проект схемы размещается Администрацией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на официальном Интернет-сайте органа местного самоуправления, с указанием адреса, на который все заинтересованные юридические и физические лица могут направлять предложения и замечания к проекту Схемы размещения в течени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установленного срока.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2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 утверждения правовым актом органа местного самоуправления муниципального образования Республики Крым, Схема размещения согласовывается с территориальными подразделениями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: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территориального отдела по Бахчисарайскому району Межрегионального управления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Роспотребнадзора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Республике Крым; отделения ГИБДД УМВД Российской Федерации по Бахчисарайскому району; Бахчисарайским отделом ГУ МСЧ России по Республике Крым;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направляется для уведомления в Управление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 Администрации Бахчисарайского района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2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Согласование, обоснованный отказ в согласовании, замечания (предложения), поступившие от органов, указанных в пункте 3.4 настоящего Порядка, оформляются письменно.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2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течение 10 календарных дней, с момента поступления замечаний (предложений), поступивших от органов, указанных в пункте 3.4 настоящего Порядка, измененный, проект схемы подлежит повторному согласованию с органами, представившими замечания (предложения).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2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Схема размещения и изменения, внесенные в Схему, утверждаются Постановлением администрации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поселения, которое подлежит обязательному опубликованию в порядке, установленном для официального опубликования муниципального правового акта, а также размещается на официальном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Интернет-сайте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Правительственном портале Республики Крым,</w:t>
      </w:r>
      <w:hyperlink r:id="rId8" w:history="1">
        <w:r w:rsidRPr="009236F2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 xml:space="preserve"> http://bahch.rk.gov.ru</w:t>
        </w:r>
        <w:r w:rsidRPr="009236F2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bidi="en-US"/>
          </w:rPr>
          <w:t>.</w:t>
        </w:r>
      </w:hyperlink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разделе «Муниципальные образования Бахчисарайского района,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Почтовское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поселение»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Утвержденные схемы размещения ежегодно не позднее 1</w:t>
      </w:r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апреля предоставляются в Министерство промышленной политики Республики Крым в электронном и бумажном носителе.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26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Основаниями для внесения изменений в Схему являются: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2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новая застройка районов, иных территорий муниципального образования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Почтовское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поселение, повлекшая изменение нормативов минимальной обеспеченности населения площадью торговых объектов;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изменение сведений о конкретном нестационарном торговом объекте, включенном в Схему.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поступление мотивированных предложений от исполнительных органов государственной власти Республики Крым, органов местного самоуправления,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обращений юридических лиц и индивидуальных предпринимателей, а также от некоммерческих организаций, выражающих интересы субъектов малого и среднего предпринимательства;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ремонт и реконструкция автомобильных дорог.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25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Предложения и обращения указанные в пункте 3.8 настоящего Порядка направляются в уполномоченный орган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который в течение 30 дней со дня поступления рассматривает их и принимает мотивированное решение о внесении либо не внесении изменений в Схему.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383"/>
        </w:tabs>
        <w:spacing w:after="296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Утверждение Схемы, а также внесение в нее изменений,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указанной Схемы.</w:t>
      </w:r>
    </w:p>
    <w:p w:rsidR="00BD4EC9" w:rsidRPr="009236F2" w:rsidRDefault="00BD4EC9" w:rsidP="006372EA">
      <w:pPr>
        <w:widowControl w:val="0"/>
        <w:numPr>
          <w:ilvl w:val="0"/>
          <w:numId w:val="4"/>
        </w:numPr>
        <w:tabs>
          <w:tab w:val="left" w:pos="1027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требования к размещению нестационарных торговых объектов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127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Схема размещения должна предусматривать: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2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архитектурные типы нестационарных торговых объектов с учетом особенностей региона с целью сохранения единого эстетического облика населенных пунктов и адаптации под сложившиеся региональные особенности;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типовые размеры нестационарных торговых объектов в зависимости от вида реализуемых товаров;</w:t>
      </w:r>
    </w:p>
    <w:p w:rsidR="00BD4EC9" w:rsidRPr="009236F2" w:rsidRDefault="00BD4EC9" w:rsidP="006372EA">
      <w:pPr>
        <w:widowControl w:val="0"/>
        <w:numPr>
          <w:ilvl w:val="0"/>
          <w:numId w:val="6"/>
        </w:numPr>
        <w:tabs>
          <w:tab w:val="left" w:pos="22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сохранение ширины пешеходной части тротуара сводное и безопасное движение пешеходов (для обеспечения безопасного прохода пешеходов при размещении нестационарных торговых объектов ширина тротуара должна быть не менее 2,5 м) - свободный доступ к проездным путям и спускам к пляжам с целью обеспечения беспрепятственного проезда транспорта аварийно- спасательных служб и машин скорой помощи, проход работников указанных служб.</w:t>
      </w:r>
      <w:proofErr w:type="gramEnd"/>
    </w:p>
    <w:p w:rsidR="00BD4EC9" w:rsidRPr="009236F2" w:rsidRDefault="00BD4EC9" w:rsidP="006372EA">
      <w:pPr>
        <w:widowControl w:val="0"/>
        <w:numPr>
          <w:ilvl w:val="0"/>
          <w:numId w:val="4"/>
        </w:numPr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Внесение изменений в Схему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54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Внесение изменений в Схему в части исключения мест размещения НТО не может повлечь за собой прекращение права на размещение НТО до предоставления компенсационного места, если иное не вытекает из договора на размещение НТО.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787"/>
        </w:tabs>
        <w:spacing w:after="0" w:line="322" w:lineRule="exact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исключении места размещения НТО из Схемы субъект торговли или физическое лицо уведомляются не менее чем за 12 месяцев с предложением подобрать компенсационные места в соответствии с Требованиями к размещению НТО.</w:t>
      </w:r>
    </w:p>
    <w:p w:rsidR="00BD4EC9" w:rsidRPr="009236F2" w:rsidRDefault="00BD4EC9" w:rsidP="006372EA">
      <w:pPr>
        <w:widowControl w:val="0"/>
        <w:numPr>
          <w:ilvl w:val="1"/>
          <w:numId w:val="4"/>
        </w:numPr>
        <w:tabs>
          <w:tab w:val="left" w:pos="843"/>
        </w:tabs>
        <w:spacing w:after="0" w:line="322" w:lineRule="exact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Компенсационные места субъекты торговли подбирают самостоятельно, исходя из Требований к размещению НТО. Органы местного самоуправления также обязаны предложить субъекту торговли альтернативные варианты, равноценные по месту расположения, трафику, плате за размещение и прочим характеристикам.</w:t>
      </w:r>
    </w:p>
    <w:p w:rsidR="00BD4EC9" w:rsidRPr="009236F2" w:rsidRDefault="00BD4EC9" w:rsidP="006372EA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5.4. Договоры и иные документы, оформленные на прежнее место размещения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НТО, переоформляются органом местного самоуправления на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компенсационное место в течение десяти рабочих дней со дня принятия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решения о выделении компенсационного места.</w:t>
      </w:r>
    </w:p>
    <w:p w:rsidR="00BD4EC9" w:rsidRPr="009236F2" w:rsidRDefault="00BD4EC9" w:rsidP="006372EA">
      <w:pPr>
        <w:widowControl w:val="0"/>
        <w:numPr>
          <w:ilvl w:val="0"/>
          <w:numId w:val="7"/>
        </w:numPr>
        <w:tabs>
          <w:tab w:val="left" w:pos="9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Администрация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в срок не позднее 14 (четырнадцати) календарных дней с момента возникновения одного из оснований, установленных п. 3.8. настоящего Порядка, согласовывает проект изменений Схемы в полном объеме или частично либо отказывает в согласовании проекта изменения Схемы.</w:t>
      </w:r>
    </w:p>
    <w:p w:rsidR="00BD4EC9" w:rsidRPr="009236F2" w:rsidRDefault="00BD4EC9" w:rsidP="006372EA">
      <w:pPr>
        <w:widowControl w:val="0"/>
        <w:spacing w:after="0" w:line="34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5.6.О включении объекта в схему администрация уведомляет заявителя по форме,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утвержденной в Приложении 4 к данному Порядку.</w:t>
      </w:r>
    </w:p>
    <w:p w:rsidR="00BD4EC9" w:rsidRPr="009236F2" w:rsidRDefault="00BD4EC9" w:rsidP="006372EA">
      <w:pPr>
        <w:widowControl w:val="0"/>
        <w:numPr>
          <w:ilvl w:val="0"/>
          <w:numId w:val="7"/>
        </w:numPr>
        <w:tabs>
          <w:tab w:val="left" w:pos="545"/>
        </w:tabs>
        <w:spacing w:after="0" w:line="34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принятия решения об отказе в согласовании проекта изменений Схемы не позднее 5 (пяти) календарных дней с момента принятия решения направляется мотивированный отказ в согласовании в адрес инициатора внесения изменений.</w:t>
      </w:r>
    </w:p>
    <w:p w:rsidR="00BD4EC9" w:rsidRPr="009236F2" w:rsidRDefault="00BD4EC9" w:rsidP="006372EA">
      <w:pPr>
        <w:widowControl w:val="0"/>
        <w:numPr>
          <w:ilvl w:val="0"/>
          <w:numId w:val="7"/>
        </w:numPr>
        <w:tabs>
          <w:tab w:val="left" w:pos="550"/>
        </w:tabs>
        <w:spacing w:after="0" w:line="346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BD4EC9" w:rsidRPr="009236F2" w:rsidSect="00D77FE4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После получения всех согласований проект изменений Схемы утверждается постановлением администрации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поселения.</w:t>
      </w:r>
    </w:p>
    <w:p w:rsidR="006372EA" w:rsidRDefault="00BD4EC9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  <w:r w:rsidR="00905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6372EA" w:rsidRDefault="00BD4EC9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Порядку разработки и утверждения схем </w:t>
      </w:r>
    </w:p>
    <w:p w:rsidR="006372EA" w:rsidRDefault="00BD4EC9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размещения нестационарных торговых объектов </w:t>
      </w:r>
    </w:p>
    <w:p w:rsidR="00BD4EC9" w:rsidRDefault="00BD4EC9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6372EA" w:rsidRPr="009236F2" w:rsidRDefault="006372EA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4EC9" w:rsidRPr="009236F2" w:rsidRDefault="00BD4EC9" w:rsidP="009236F2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Типовая форма заявления</w:t>
      </w:r>
    </w:p>
    <w:p w:rsidR="00BD4EC9" w:rsidRPr="009236F2" w:rsidRDefault="00BD4EC9" w:rsidP="009236F2">
      <w:pPr>
        <w:widowControl w:val="0"/>
        <w:spacing w:after="236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включении места для размещения нестационарного торгового объекта</w:t>
      </w:r>
      <w:r w:rsidRPr="00923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в схему размещения на территории </w:t>
      </w:r>
      <w:proofErr w:type="spellStart"/>
      <w:r w:rsidRPr="009236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BD4EC9" w:rsidRPr="009236F2" w:rsidRDefault="00BD4EC9" w:rsidP="009236F2">
      <w:pPr>
        <w:widowControl w:val="0"/>
        <w:tabs>
          <w:tab w:val="left" w:pos="8439"/>
        </w:tabs>
        <w:spacing w:after="537" w:line="326" w:lineRule="exact"/>
        <w:ind w:left="5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Главе администрации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поселения</w:t>
      </w:r>
    </w:p>
    <w:p w:rsidR="00BD4EC9" w:rsidRPr="009236F2" w:rsidRDefault="00BD4EC9" w:rsidP="00905FAB">
      <w:pPr>
        <w:widowControl w:val="0"/>
        <w:spacing w:after="0" w:line="180" w:lineRule="exact"/>
        <w:ind w:left="6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(ФИО руководителя)</w:t>
      </w:r>
    </w:p>
    <w:p w:rsidR="00BD4EC9" w:rsidRPr="009236F2" w:rsidRDefault="00BD4EC9" w:rsidP="00905FAB">
      <w:pPr>
        <w:widowControl w:val="0"/>
        <w:spacing w:after="0" w:line="180" w:lineRule="exact"/>
        <w:ind w:left="570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(ФИО руководителя хозяйствующего субъекта)</w:t>
      </w:r>
    </w:p>
    <w:p w:rsidR="00BD4EC9" w:rsidRPr="009236F2" w:rsidRDefault="00BD4EC9" w:rsidP="009236F2">
      <w:pPr>
        <w:widowControl w:val="0"/>
        <w:spacing w:after="479" w:line="180" w:lineRule="exact"/>
        <w:ind w:left="6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(ОГРН или ОГРНИП)</w:t>
      </w:r>
    </w:p>
    <w:p w:rsidR="00BD4EC9" w:rsidRPr="009236F2" w:rsidRDefault="00BD4EC9" w:rsidP="009236F2">
      <w:pPr>
        <w:widowControl w:val="0"/>
        <w:spacing w:after="290" w:line="2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заявление.</w:t>
      </w:r>
    </w:p>
    <w:p w:rsidR="00BD4EC9" w:rsidRPr="009236F2" w:rsidRDefault="00BD4EC9" w:rsidP="009236F2">
      <w:pPr>
        <w:widowControl w:val="0"/>
        <w:tabs>
          <w:tab w:val="left" w:leader="underscore" w:pos="9560"/>
        </w:tabs>
        <w:spacing w:after="413" w:line="326" w:lineRule="exact"/>
        <w:ind w:firstLine="7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Прошу Вас рассмотреть возможность включения места для размещения нестационарного торгового объекта</w:t>
      </w:r>
    </w:p>
    <w:p w:rsidR="00BD4EC9" w:rsidRPr="009236F2" w:rsidRDefault="00BD4EC9" w:rsidP="009236F2">
      <w:pPr>
        <w:widowControl w:val="0"/>
        <w:tabs>
          <w:tab w:val="left" w:leader="underscore" w:pos="9560"/>
        </w:tabs>
        <w:spacing w:after="0" w:line="110" w:lineRule="exact"/>
        <w:ind w:left="4240"/>
        <w:jc w:val="center"/>
        <w:rPr>
          <w:rFonts w:ascii="Times New Roman" w:eastAsia="Calibri" w:hAnsi="Times New Roman" w:cs="Times New Roman"/>
          <w:color w:val="000000"/>
          <w:sz w:val="10"/>
          <w:szCs w:val="10"/>
          <w:lang w:eastAsia="ru-RU" w:bidi="ru-RU"/>
        </w:rPr>
      </w:pPr>
      <w:r w:rsidRPr="009236F2">
        <w:rPr>
          <w:rFonts w:ascii="Times New Roman" w:eastAsia="Calibri" w:hAnsi="Times New Roman" w:cs="Times New Roman"/>
          <w:color w:val="000000"/>
          <w:sz w:val="10"/>
          <w:szCs w:val="10"/>
          <w:lang w:eastAsia="ru-RU" w:bidi="ru-RU"/>
        </w:rPr>
        <w:t>5</w:t>
      </w:r>
    </w:p>
    <w:p w:rsidR="00BD4EC9" w:rsidRPr="009236F2" w:rsidRDefault="00BD4EC9" w:rsidP="009236F2">
      <w:pPr>
        <w:widowControl w:val="0"/>
        <w:spacing w:after="130" w:line="180" w:lineRule="exact"/>
        <w:ind w:left="424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(вид торгового объекта)</w:t>
      </w:r>
    </w:p>
    <w:p w:rsidR="00BD4EC9" w:rsidRPr="009236F2" w:rsidRDefault="00BD4EC9" w:rsidP="009236F2">
      <w:pPr>
        <w:widowControl w:val="0"/>
        <w:tabs>
          <w:tab w:val="left" w:pos="2885"/>
          <w:tab w:val="left" w:pos="4080"/>
          <w:tab w:val="left" w:pos="6389"/>
          <w:tab w:val="left" w:pos="7493"/>
          <w:tab w:val="left" w:pos="9336"/>
        </w:tabs>
        <w:spacing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расположенного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территории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с._________________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</w:t>
      </w:r>
    </w:p>
    <w:p w:rsidR="00BD4EC9" w:rsidRPr="009236F2" w:rsidRDefault="00BD4EC9" w:rsidP="009236F2">
      <w:pPr>
        <w:widowControl w:val="0"/>
        <w:tabs>
          <w:tab w:val="left" w:leader="underscore" w:pos="4512"/>
        </w:tabs>
        <w:spacing w:after="237" w:line="326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адресу:</w:t>
      </w:r>
    </w:p>
    <w:p w:rsidR="00BD4EC9" w:rsidRPr="009236F2" w:rsidRDefault="00BD4EC9" w:rsidP="009236F2">
      <w:pPr>
        <w:widowControl w:val="0"/>
        <w:spacing w:after="148" w:line="1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(адрес предполагаемого места расположения объекта)</w:t>
      </w:r>
    </w:p>
    <w:p w:rsidR="00BD4EC9" w:rsidRPr="009236F2" w:rsidRDefault="00BD4EC9" w:rsidP="009236F2">
      <w:pPr>
        <w:widowControl w:val="0"/>
        <w:tabs>
          <w:tab w:val="left" w:leader="underscore" w:pos="2299"/>
          <w:tab w:val="left" w:leader="underscore" w:pos="9560"/>
        </w:tabs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площадью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кв. м., специализация объекта</w:t>
      </w:r>
    </w:p>
    <w:p w:rsidR="00BD4EC9" w:rsidRPr="009236F2" w:rsidRDefault="00BD4EC9" w:rsidP="009236F2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схему размещения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нестационарных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торговых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BD4EC9" w:rsidRPr="009236F2" w:rsidRDefault="00BD4EC9" w:rsidP="009236F2">
      <w:pPr>
        <w:widowControl w:val="0"/>
        <w:tabs>
          <w:tab w:val="left" w:leader="underscore" w:pos="9560"/>
        </w:tabs>
        <w:spacing w:after="530" w:line="317" w:lineRule="exact"/>
        <w:ind w:left="7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Дополнительная информация о земельном участке</w:t>
      </w:r>
    </w:p>
    <w:p w:rsidR="00BD4EC9" w:rsidRPr="009236F2" w:rsidRDefault="004B154A" w:rsidP="009236F2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sectPr w:rsidR="00BD4EC9" w:rsidRPr="009236F2" w:rsidSect="009236F2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.3pt;margin-top:45.85pt;width:24.95pt;height:12pt;z-index:-251656192;mso-wrap-distance-left:29.3pt;mso-wrap-distance-right:191.05pt;mso-wrap-distance-bottom:20pt;mso-position-horizontal-relative:margin" filled="f" stroked="f">
            <v:textbox style="mso-fit-shape-to-text:t" inset="0,0,0,0">
              <w:txbxContent>
                <w:p w:rsidR="00BD4EC9" w:rsidRDefault="00BD4EC9" w:rsidP="00BD4EC9">
                  <w:pPr>
                    <w:pStyle w:val="60"/>
                    <w:shd w:val="clear" w:color="auto" w:fill="auto"/>
                    <w:spacing w:before="0" w:after="0" w:line="180" w:lineRule="exact"/>
                  </w:pPr>
                  <w:r>
                    <w:rPr>
                      <w:rStyle w:val="6Exact"/>
                    </w:rPr>
                    <w:t>(дата)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pict>
          <v:shape id="_x0000_s1031" type="#_x0000_t202" style="position:absolute;left:0;text-align:left;margin-left:245.3pt;margin-top:45.85pt;width:40.1pt;height:12pt;z-index:-251655168;mso-wrap-distance-left:5pt;mso-wrap-distance-right:78.25pt;mso-wrap-distance-bottom:20pt;mso-position-horizontal-relative:margin" filled="f" stroked="f">
            <v:textbox style="mso-fit-shape-to-text:t" inset="0,0,0,0">
              <w:txbxContent>
                <w:p w:rsidR="00BD4EC9" w:rsidRDefault="00BD4EC9" w:rsidP="00BD4EC9">
                  <w:pPr>
                    <w:pStyle w:val="60"/>
                    <w:shd w:val="clear" w:color="auto" w:fill="auto"/>
                    <w:spacing w:before="0" w:after="0" w:line="180" w:lineRule="exact"/>
                  </w:pPr>
                  <w:r>
                    <w:rPr>
                      <w:rStyle w:val="6Exact"/>
                    </w:rPr>
                    <w:t>(подпись)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pict>
          <v:shape id="_x0000_s1032" type="#_x0000_t202" style="position:absolute;left:0;text-align:left;margin-left:363.6pt;margin-top:45.85pt;width:63.1pt;height:12pt;z-index:-251654144;mso-wrap-distance-left:5pt;mso-wrap-distance-right:57.6pt;mso-wrap-distance-bottom:20pt;mso-position-horizontal-relative:margin" filled="f" stroked="f">
            <v:textbox style="mso-fit-shape-to-text:t" inset="0,0,0,0">
              <w:txbxContent>
                <w:p w:rsidR="00BD4EC9" w:rsidRDefault="00BD4EC9" w:rsidP="00BD4EC9">
                  <w:pPr>
                    <w:pStyle w:val="60"/>
                    <w:shd w:val="clear" w:color="auto" w:fill="auto"/>
                    <w:spacing w:before="0" w:after="0" w:line="180" w:lineRule="exact"/>
                  </w:pPr>
                  <w:r>
                    <w:rPr>
                      <w:rStyle w:val="6Exact"/>
                    </w:rPr>
                    <w:t>(И.О. Фамилия)</w:t>
                  </w:r>
                </w:p>
              </w:txbxContent>
            </v:textbox>
            <w10:wrap type="topAndBottom" anchorx="margin"/>
          </v:shape>
        </w:pict>
      </w:r>
      <w:r w:rsidR="00BD4EC9" w:rsidRPr="009236F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(площадь земельного участка, кадастровый номер земельного участка, собственник (при наличии информации))</w:t>
      </w:r>
    </w:p>
    <w:p w:rsidR="006372EA" w:rsidRDefault="00BD4EC9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  <w:r w:rsidR="00905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372EA" w:rsidRDefault="00BD4EC9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Порядку разработки и утверждения схем </w:t>
      </w:r>
    </w:p>
    <w:p w:rsidR="006372EA" w:rsidRDefault="00BD4EC9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размещения нестационарных торговых объектов </w:t>
      </w:r>
    </w:p>
    <w:p w:rsidR="00BD4EC9" w:rsidRDefault="00BD4EC9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6372EA" w:rsidRPr="009236F2" w:rsidRDefault="006372EA" w:rsidP="006372EA">
      <w:pPr>
        <w:widowControl w:val="0"/>
        <w:spacing w:after="0" w:line="322" w:lineRule="exact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4EC9" w:rsidRPr="009236F2" w:rsidRDefault="00BD4EC9" w:rsidP="009236F2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Уведомление</w:t>
      </w:r>
    </w:p>
    <w:p w:rsidR="00BD4EC9" w:rsidRPr="009236F2" w:rsidRDefault="00BD4EC9" w:rsidP="009236F2">
      <w:pPr>
        <w:widowControl w:val="0"/>
        <w:spacing w:after="0" w:line="322" w:lineRule="exact"/>
        <w:ind w:firstLine="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включении объекта в Схему размещения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нестационарных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торговых</w:t>
      </w:r>
    </w:p>
    <w:p w:rsidR="00BD4EC9" w:rsidRPr="009236F2" w:rsidRDefault="00BD4EC9" w:rsidP="009236F2">
      <w:pPr>
        <w:widowControl w:val="0"/>
        <w:spacing w:after="30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объектов</w:t>
      </w:r>
    </w:p>
    <w:p w:rsidR="00BD4EC9" w:rsidRPr="009236F2" w:rsidRDefault="00BD4EC9" w:rsidP="006372EA">
      <w:pPr>
        <w:widowControl w:val="0"/>
        <w:tabs>
          <w:tab w:val="left" w:leader="underscore" w:pos="5385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(указывается правовой акт</w:t>
      </w:r>
      <w:proofErr w:type="gramEnd"/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</w:t>
      </w:r>
      <w:proofErr w:type="spell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Почтовского</w:t>
      </w:r>
      <w:proofErr w:type="spell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об утверждении схемы</w:t>
      </w:r>
    </w:p>
    <w:p w:rsidR="00BD4EC9" w:rsidRPr="009236F2" w:rsidRDefault="00BD4EC9" w:rsidP="006372EA">
      <w:pPr>
        <w:widowControl w:val="0"/>
        <w:tabs>
          <w:tab w:val="left" w:leader="underscore" w:pos="898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размещения нестационарных торговых объектов)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№</w:t>
      </w:r>
    </w:p>
    <w:p w:rsidR="00BD4EC9" w:rsidRPr="009236F2" w:rsidRDefault="00BD4EC9" w:rsidP="006372EA">
      <w:pPr>
        <w:widowControl w:val="0"/>
        <w:tabs>
          <w:tab w:val="left" w:leader="underscore" w:pos="126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место размещения нестационарного торгового объекта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</w:t>
      </w:r>
      <w:proofErr w:type="gramEnd"/>
    </w:p>
    <w:p w:rsidR="00BD4EC9" w:rsidRPr="009236F2" w:rsidRDefault="00BD4EC9" w:rsidP="006372EA">
      <w:pPr>
        <w:widowControl w:val="0"/>
        <w:tabs>
          <w:tab w:val="left" w:leader="underscore" w:pos="787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стационарном торговом объекте 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(вид и</w:t>
      </w:r>
      <w:proofErr w:type="gramEnd"/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наименование стационарного торгового объекта),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находящемся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адресу</w:t>
      </w:r>
    </w:p>
    <w:p w:rsidR="00BD4EC9" w:rsidRPr="009236F2" w:rsidRDefault="00BD4EC9" w:rsidP="006372EA">
      <w:pPr>
        <w:widowControl w:val="0"/>
        <w:tabs>
          <w:tab w:val="left" w:leader="underscore" w:pos="304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(указывается адрес размещения стационарного</w:t>
      </w:r>
      <w:proofErr w:type="gramEnd"/>
    </w:p>
    <w:p w:rsidR="00BD4EC9" w:rsidRPr="009236F2" w:rsidRDefault="00BD4EC9" w:rsidP="006372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торгового объекта), включено в схему размещения нестационарных торговых объектов.</w:t>
      </w:r>
    </w:p>
    <w:p w:rsidR="00BD4EC9" w:rsidRPr="009236F2" w:rsidRDefault="00BD4EC9" w:rsidP="006372EA">
      <w:pPr>
        <w:widowControl w:val="0"/>
        <w:tabs>
          <w:tab w:val="left" w:leader="underscore" w:pos="8217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Площадь места размещения нестационарного торгового объекта при стационарном торговом объекте составляет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.</w:t>
      </w:r>
    </w:p>
    <w:p w:rsidR="00BD4EC9" w:rsidRPr="009236F2" w:rsidRDefault="00BD4EC9" w:rsidP="006372EA">
      <w:pPr>
        <w:widowControl w:val="0"/>
        <w:tabs>
          <w:tab w:val="right" w:leader="underscore" w:pos="4776"/>
          <w:tab w:val="left" w:pos="4981"/>
        </w:tabs>
        <w:spacing w:after="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Размещение, обустройство, эксплуатация нестационарного торгового объекта должны осуществляться в соответствии с установленным Положением о размещении нестационарных торговых объектов на территории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сельского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поселения.</w:t>
      </w:r>
    </w:p>
    <w:p w:rsidR="00BD4EC9" w:rsidRPr="009236F2" w:rsidRDefault="00BD4EC9" w:rsidP="006372EA">
      <w:pPr>
        <w:widowControl w:val="0"/>
        <w:spacing w:after="30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принятия решения об исключении места размещения нестационарного торгового объекта из схемы размещения нестационарных торговых объектов нестационарный торговый объект должен быть демонтирован и (или) вывезен с места его размещения в срок не позднее 7 календарных дней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даты принятия</w:t>
      </w:r>
      <w:proofErr w:type="gramEnd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указанного решения.</w:t>
      </w:r>
    </w:p>
    <w:p w:rsidR="00BD4EC9" w:rsidRPr="009236F2" w:rsidRDefault="00BD4EC9" w:rsidP="009236F2">
      <w:pPr>
        <w:widowControl w:val="0"/>
        <w:spacing w:after="0" w:line="322" w:lineRule="exact"/>
        <w:ind w:firstLine="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:rsidR="00BD4EC9" w:rsidRPr="009236F2" w:rsidRDefault="00BD4EC9" w:rsidP="009236F2">
      <w:pPr>
        <w:widowControl w:val="0"/>
        <w:tabs>
          <w:tab w:val="left" w:leader="underscore" w:pos="8217"/>
          <w:tab w:val="left" w:leader="underscore" w:pos="9364"/>
        </w:tabs>
        <w:spacing w:after="0" w:line="322" w:lineRule="exact"/>
        <w:ind w:firstLine="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размещения нестационарного торгового объекта на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л. </w:t>
      </w:r>
      <w:proofErr w:type="gramStart"/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</w:p>
    <w:p w:rsidR="00BD4EC9" w:rsidRPr="009236F2" w:rsidRDefault="00BD4EC9" w:rsidP="009236F2">
      <w:pPr>
        <w:widowControl w:val="0"/>
        <w:spacing w:after="333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экз.</w:t>
      </w:r>
    </w:p>
    <w:p w:rsidR="00BD4EC9" w:rsidRPr="009236F2" w:rsidRDefault="00BD4EC9" w:rsidP="009236F2">
      <w:pPr>
        <w:widowControl w:val="0"/>
        <w:tabs>
          <w:tab w:val="left" w:pos="413"/>
          <w:tab w:val="left" w:pos="3046"/>
        </w:tabs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»</w:t>
      </w:r>
      <w:r w:rsidRPr="00923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с. _____</w:t>
      </w:r>
      <w:bookmarkStart w:id="0" w:name="_GoBack"/>
      <w:bookmarkEnd w:id="0"/>
    </w:p>
    <w:p w:rsidR="00BD4EC9" w:rsidRPr="009236F2" w:rsidRDefault="00BD4EC9" w:rsidP="009236F2">
      <w:pPr>
        <w:widowControl w:val="0"/>
        <w:tabs>
          <w:tab w:val="left" w:pos="6379"/>
        </w:tabs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BD4EC9" w:rsidRPr="009236F2" w:rsidSect="009236F2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D64A9A" w:rsidRPr="009236F2" w:rsidRDefault="00D64A9A" w:rsidP="00905FAB">
      <w:pPr>
        <w:widowControl w:val="0"/>
        <w:spacing w:before="2" w:after="2" w:line="240" w:lineRule="exact"/>
        <w:jc w:val="center"/>
        <w:rPr>
          <w:rFonts w:ascii="Times New Roman" w:eastAsia="Arial Unicode MS" w:hAnsi="Times New Roman" w:cs="Times New Roman"/>
          <w:color w:val="000000"/>
          <w:sz w:val="19"/>
          <w:szCs w:val="19"/>
          <w:lang w:eastAsia="ru-RU" w:bidi="ru-RU"/>
        </w:rPr>
      </w:pPr>
    </w:p>
    <w:sectPr w:rsidR="00D64A9A" w:rsidRPr="009236F2" w:rsidSect="009236F2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4440"/>
    <w:multiLevelType w:val="multilevel"/>
    <w:tmpl w:val="2FF88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4E3D6E"/>
    <w:multiLevelType w:val="hybridMultilevel"/>
    <w:tmpl w:val="B5202D6A"/>
    <w:lvl w:ilvl="0" w:tplc="222670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89A1982"/>
    <w:multiLevelType w:val="multilevel"/>
    <w:tmpl w:val="88CC7C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716988"/>
    <w:multiLevelType w:val="multilevel"/>
    <w:tmpl w:val="ADF64E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752E3A"/>
    <w:multiLevelType w:val="multilevel"/>
    <w:tmpl w:val="62105986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3C7C51"/>
    <w:multiLevelType w:val="multilevel"/>
    <w:tmpl w:val="149C1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FC7F95"/>
    <w:multiLevelType w:val="multilevel"/>
    <w:tmpl w:val="D486A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AA1"/>
    <w:rsid w:val="00031F93"/>
    <w:rsid w:val="001172E9"/>
    <w:rsid w:val="001E3319"/>
    <w:rsid w:val="00256E68"/>
    <w:rsid w:val="002C2BDA"/>
    <w:rsid w:val="002E51AD"/>
    <w:rsid w:val="00337986"/>
    <w:rsid w:val="003529D3"/>
    <w:rsid w:val="00364E05"/>
    <w:rsid w:val="00371ADF"/>
    <w:rsid w:val="00390F2A"/>
    <w:rsid w:val="003D26AC"/>
    <w:rsid w:val="004459EA"/>
    <w:rsid w:val="0045561B"/>
    <w:rsid w:val="00472E4B"/>
    <w:rsid w:val="00483320"/>
    <w:rsid w:val="004A7BC5"/>
    <w:rsid w:val="004B154A"/>
    <w:rsid w:val="004B20D8"/>
    <w:rsid w:val="005030B7"/>
    <w:rsid w:val="005869FA"/>
    <w:rsid w:val="005C4648"/>
    <w:rsid w:val="006068FB"/>
    <w:rsid w:val="00610AF5"/>
    <w:rsid w:val="00613D62"/>
    <w:rsid w:val="006372EA"/>
    <w:rsid w:val="0065128D"/>
    <w:rsid w:val="00654B3D"/>
    <w:rsid w:val="0069666A"/>
    <w:rsid w:val="006A3BFA"/>
    <w:rsid w:val="006B4421"/>
    <w:rsid w:val="0077520E"/>
    <w:rsid w:val="007D36AC"/>
    <w:rsid w:val="008044F7"/>
    <w:rsid w:val="0081541F"/>
    <w:rsid w:val="0084676E"/>
    <w:rsid w:val="0088709C"/>
    <w:rsid w:val="00905FAB"/>
    <w:rsid w:val="00921134"/>
    <w:rsid w:val="009236F2"/>
    <w:rsid w:val="00925BA2"/>
    <w:rsid w:val="009505CD"/>
    <w:rsid w:val="00976085"/>
    <w:rsid w:val="00997D10"/>
    <w:rsid w:val="009B5697"/>
    <w:rsid w:val="009C1DDC"/>
    <w:rsid w:val="00A60231"/>
    <w:rsid w:val="00A95EDC"/>
    <w:rsid w:val="00AA1A37"/>
    <w:rsid w:val="00AD1B4F"/>
    <w:rsid w:val="00AE421A"/>
    <w:rsid w:val="00BD4EC9"/>
    <w:rsid w:val="00C153D3"/>
    <w:rsid w:val="00C81AA1"/>
    <w:rsid w:val="00CE5423"/>
    <w:rsid w:val="00D64A9A"/>
    <w:rsid w:val="00D77FE4"/>
    <w:rsid w:val="00D9060F"/>
    <w:rsid w:val="00E05E3A"/>
    <w:rsid w:val="00E06F5F"/>
    <w:rsid w:val="00E15728"/>
    <w:rsid w:val="00E2158F"/>
    <w:rsid w:val="00E67637"/>
    <w:rsid w:val="00E71CE9"/>
    <w:rsid w:val="00F75969"/>
    <w:rsid w:val="00F818D5"/>
    <w:rsid w:val="00F86D79"/>
    <w:rsid w:val="00FC61E8"/>
    <w:rsid w:val="00FE0991"/>
    <w:rsid w:val="00FF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E9"/>
  </w:style>
  <w:style w:type="paragraph" w:styleId="1">
    <w:name w:val="heading 1"/>
    <w:basedOn w:val="a"/>
    <w:link w:val="10"/>
    <w:uiPriority w:val="9"/>
    <w:qFormat/>
    <w:rsid w:val="00C81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81AA1"/>
  </w:style>
  <w:style w:type="paragraph" w:styleId="a3">
    <w:name w:val="Body Text Indent"/>
    <w:basedOn w:val="a"/>
    <w:link w:val="a4"/>
    <w:uiPriority w:val="99"/>
    <w:semiHidden/>
    <w:unhideWhenUsed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1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7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A1A3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54B3D"/>
    <w:pPr>
      <w:ind w:left="720"/>
      <w:contextualSpacing/>
    </w:pPr>
  </w:style>
  <w:style w:type="character" w:customStyle="1" w:styleId="6Exact">
    <w:name w:val="Основной текст (6) Exact"/>
    <w:basedOn w:val="a0"/>
    <w:rsid w:val="00D64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D64A9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4A9A"/>
    <w:pPr>
      <w:widowControl w:val="0"/>
      <w:shd w:val="clear" w:color="auto" w:fill="FFFFFF"/>
      <w:spacing w:before="420" w:after="144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hch.rk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ahch.rk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E7A66-1EB3-4797-A167-1B77D11F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11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31</cp:revision>
  <cp:lastPrinted>2017-08-14T04:50:00Z</cp:lastPrinted>
  <dcterms:created xsi:type="dcterms:W3CDTF">2016-05-04T06:25:00Z</dcterms:created>
  <dcterms:modified xsi:type="dcterms:W3CDTF">2017-09-20T09:50:00Z</dcterms:modified>
</cp:coreProperties>
</file>